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E4D" w:rsidRPr="00963828" w:rsidRDefault="00B11E4D" w:rsidP="00B11E4D">
      <w:pPr>
        <w:jc w:val="center"/>
        <w:outlineLvl w:val="0"/>
        <w:rPr>
          <w:rFonts w:ascii="Arial" w:hAnsi="Arial" w:cs="Arial"/>
          <w:b/>
        </w:rPr>
      </w:pPr>
      <w:r w:rsidRPr="00963828">
        <w:rPr>
          <w:rFonts w:ascii="Arial" w:hAnsi="Arial" w:cs="Arial"/>
          <w:b/>
        </w:rPr>
        <w:t xml:space="preserve">PREGLED ZAPRIMLJENIH PRIMJEDBI I PRIJEDLOGA </w:t>
      </w:r>
    </w:p>
    <w:p w:rsidR="00B11E4D" w:rsidRPr="00963828" w:rsidRDefault="00B11E4D" w:rsidP="00B11E4D">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379"/>
        <w:gridCol w:w="1696"/>
        <w:gridCol w:w="3889"/>
        <w:gridCol w:w="1559"/>
        <w:gridCol w:w="4643"/>
      </w:tblGrid>
      <w:tr w:rsidR="007C7413" w:rsidRPr="00963828" w:rsidTr="00D01F54">
        <w:tc>
          <w:tcPr>
            <w:tcW w:w="828" w:type="dxa"/>
            <w:tcBorders>
              <w:top w:val="single" w:sz="4" w:space="0" w:color="auto"/>
              <w:left w:val="single" w:sz="4" w:space="0" w:color="auto"/>
              <w:bottom w:val="single" w:sz="4" w:space="0" w:color="auto"/>
              <w:right w:val="single" w:sz="4" w:space="0" w:color="auto"/>
            </w:tcBorders>
            <w:vAlign w:val="center"/>
            <w:hideMark/>
          </w:tcPr>
          <w:p w:rsidR="00B11E4D" w:rsidRPr="00963828" w:rsidRDefault="00B11E4D" w:rsidP="003544C3">
            <w:pPr>
              <w:jc w:val="center"/>
              <w:rPr>
                <w:rFonts w:ascii="Arial" w:hAnsi="Arial" w:cs="Arial"/>
                <w:b/>
              </w:rPr>
            </w:pPr>
            <w:r w:rsidRPr="00963828">
              <w:rPr>
                <w:rFonts w:ascii="Arial" w:hAnsi="Arial" w:cs="Arial"/>
                <w:b/>
              </w:rPr>
              <w:t>Redni broj</w:t>
            </w:r>
          </w:p>
        </w:tc>
        <w:tc>
          <w:tcPr>
            <w:tcW w:w="1379" w:type="dxa"/>
            <w:tcBorders>
              <w:top w:val="single" w:sz="4" w:space="0" w:color="auto"/>
              <w:left w:val="single" w:sz="4" w:space="0" w:color="auto"/>
              <w:bottom w:val="single" w:sz="4" w:space="0" w:color="auto"/>
              <w:right w:val="single" w:sz="4" w:space="0" w:color="auto"/>
            </w:tcBorders>
            <w:vAlign w:val="center"/>
            <w:hideMark/>
          </w:tcPr>
          <w:p w:rsidR="00B11E4D" w:rsidRPr="00963828" w:rsidRDefault="00B11E4D" w:rsidP="003544C3">
            <w:pPr>
              <w:jc w:val="center"/>
              <w:rPr>
                <w:rFonts w:ascii="Arial" w:hAnsi="Arial" w:cs="Arial"/>
                <w:b/>
              </w:rPr>
            </w:pPr>
            <w:r w:rsidRPr="00963828">
              <w:rPr>
                <w:rFonts w:ascii="Arial" w:hAnsi="Arial" w:cs="Arial"/>
                <w:b/>
              </w:rPr>
              <w:t>Datum zaprimanja</w:t>
            </w:r>
          </w:p>
        </w:tc>
        <w:tc>
          <w:tcPr>
            <w:tcW w:w="1696" w:type="dxa"/>
            <w:tcBorders>
              <w:top w:val="single" w:sz="4" w:space="0" w:color="auto"/>
              <w:left w:val="single" w:sz="4" w:space="0" w:color="auto"/>
              <w:bottom w:val="single" w:sz="4" w:space="0" w:color="auto"/>
              <w:right w:val="single" w:sz="4" w:space="0" w:color="auto"/>
            </w:tcBorders>
            <w:vAlign w:val="center"/>
            <w:hideMark/>
          </w:tcPr>
          <w:p w:rsidR="00B11E4D" w:rsidRPr="00963828" w:rsidRDefault="00B11E4D" w:rsidP="003544C3">
            <w:pPr>
              <w:jc w:val="center"/>
              <w:rPr>
                <w:rFonts w:ascii="Arial" w:hAnsi="Arial" w:cs="Arial"/>
                <w:b/>
              </w:rPr>
            </w:pPr>
            <w:r w:rsidRPr="00963828">
              <w:rPr>
                <w:rFonts w:ascii="Arial" w:hAnsi="Arial" w:cs="Arial"/>
                <w:b/>
              </w:rPr>
              <w:t>Naziv predstavnika zainteresirane  javnosti</w:t>
            </w:r>
          </w:p>
        </w:tc>
        <w:tc>
          <w:tcPr>
            <w:tcW w:w="3889" w:type="dxa"/>
            <w:tcBorders>
              <w:top w:val="single" w:sz="4" w:space="0" w:color="auto"/>
              <w:left w:val="single" w:sz="4" w:space="0" w:color="auto"/>
              <w:bottom w:val="single" w:sz="4" w:space="0" w:color="auto"/>
              <w:right w:val="single" w:sz="4" w:space="0" w:color="auto"/>
            </w:tcBorders>
            <w:vAlign w:val="center"/>
            <w:hideMark/>
          </w:tcPr>
          <w:p w:rsidR="00B11E4D" w:rsidRPr="00963828" w:rsidRDefault="00B11E4D" w:rsidP="003544C3">
            <w:pPr>
              <w:jc w:val="center"/>
              <w:rPr>
                <w:rFonts w:ascii="Arial" w:hAnsi="Arial" w:cs="Arial"/>
                <w:b/>
              </w:rPr>
            </w:pPr>
            <w:r w:rsidRPr="00963828">
              <w:rPr>
                <w:rFonts w:ascii="Arial" w:hAnsi="Arial" w:cs="Arial"/>
                <w:b/>
              </w:rPr>
              <w:t>Tekst primjedbe ili prijedloga</w:t>
            </w:r>
          </w:p>
        </w:tc>
        <w:tc>
          <w:tcPr>
            <w:tcW w:w="1559" w:type="dxa"/>
            <w:tcBorders>
              <w:top w:val="single" w:sz="4" w:space="0" w:color="auto"/>
              <w:left w:val="single" w:sz="4" w:space="0" w:color="auto"/>
              <w:bottom w:val="single" w:sz="4" w:space="0" w:color="auto"/>
              <w:right w:val="single" w:sz="4" w:space="0" w:color="auto"/>
            </w:tcBorders>
            <w:vAlign w:val="center"/>
          </w:tcPr>
          <w:p w:rsidR="00B11E4D" w:rsidRPr="00963828" w:rsidRDefault="00B11E4D" w:rsidP="003544C3">
            <w:pPr>
              <w:jc w:val="center"/>
              <w:rPr>
                <w:rFonts w:ascii="Arial" w:hAnsi="Arial" w:cs="Arial"/>
                <w:b/>
              </w:rPr>
            </w:pPr>
            <w:r w:rsidRPr="00963828">
              <w:rPr>
                <w:rFonts w:ascii="Arial" w:hAnsi="Arial" w:cs="Arial"/>
                <w:b/>
              </w:rPr>
              <w:t>Primjedba ili prijedlog</w:t>
            </w:r>
          </w:p>
          <w:p w:rsidR="00B11E4D" w:rsidRPr="00963828" w:rsidRDefault="00B11E4D" w:rsidP="003544C3">
            <w:pPr>
              <w:jc w:val="center"/>
              <w:rPr>
                <w:rFonts w:ascii="Arial" w:hAnsi="Arial" w:cs="Arial"/>
                <w:b/>
              </w:rPr>
            </w:pPr>
            <w:r w:rsidRPr="00963828">
              <w:rPr>
                <w:rFonts w:ascii="Arial" w:hAnsi="Arial" w:cs="Arial"/>
                <w:b/>
              </w:rPr>
              <w:t>prihvaćeno ili neprihvaćeno</w:t>
            </w:r>
          </w:p>
          <w:p w:rsidR="00B11E4D" w:rsidRPr="00963828" w:rsidRDefault="00B11E4D" w:rsidP="003544C3">
            <w:pPr>
              <w:jc w:val="center"/>
              <w:rPr>
                <w:rFonts w:ascii="Arial" w:hAnsi="Arial" w:cs="Arial"/>
                <w:b/>
              </w:rPr>
            </w:pPr>
          </w:p>
        </w:tc>
        <w:tc>
          <w:tcPr>
            <w:tcW w:w="4643" w:type="dxa"/>
            <w:tcBorders>
              <w:top w:val="single" w:sz="4" w:space="0" w:color="auto"/>
              <w:left w:val="single" w:sz="4" w:space="0" w:color="auto"/>
              <w:bottom w:val="single" w:sz="4" w:space="0" w:color="auto"/>
              <w:right w:val="single" w:sz="4" w:space="0" w:color="auto"/>
            </w:tcBorders>
            <w:vAlign w:val="center"/>
            <w:hideMark/>
          </w:tcPr>
          <w:p w:rsidR="00B11E4D" w:rsidRPr="00D424B6" w:rsidRDefault="00B11E4D" w:rsidP="00B73566">
            <w:pPr>
              <w:jc w:val="center"/>
              <w:rPr>
                <w:rFonts w:ascii="Arial" w:hAnsi="Arial" w:cs="Arial"/>
                <w:b/>
              </w:rPr>
            </w:pPr>
            <w:r w:rsidRPr="00D424B6">
              <w:rPr>
                <w:rFonts w:ascii="Arial" w:hAnsi="Arial" w:cs="Arial"/>
                <w:b/>
              </w:rPr>
              <w:t>Razlozi prihvaćanja ili neprihvaćanja</w:t>
            </w:r>
          </w:p>
          <w:p w:rsidR="00916503" w:rsidRPr="00D424B6" w:rsidRDefault="00916503" w:rsidP="00B73566">
            <w:pPr>
              <w:jc w:val="center"/>
              <w:rPr>
                <w:rFonts w:ascii="Arial" w:hAnsi="Arial" w:cs="Arial"/>
                <w:b/>
              </w:rPr>
            </w:pPr>
          </w:p>
          <w:p w:rsidR="00916503" w:rsidRPr="00D424B6" w:rsidRDefault="00916503" w:rsidP="00B73566">
            <w:pPr>
              <w:jc w:val="center"/>
              <w:rPr>
                <w:rFonts w:ascii="Arial" w:hAnsi="Arial" w:cs="Arial"/>
                <w:b/>
              </w:rPr>
            </w:pPr>
            <w:r w:rsidRPr="00D424B6">
              <w:rPr>
                <w:rFonts w:ascii="Arial" w:hAnsi="Arial" w:cs="Arial"/>
                <w:b/>
              </w:rPr>
              <w:t>Očitovanje predlagatelja</w:t>
            </w:r>
          </w:p>
        </w:tc>
      </w:tr>
      <w:tr w:rsidR="00AA3E68" w:rsidRPr="00963828" w:rsidTr="00D01F54">
        <w:trPr>
          <w:trHeight w:val="2858"/>
        </w:trPr>
        <w:tc>
          <w:tcPr>
            <w:tcW w:w="828" w:type="dxa"/>
            <w:tcBorders>
              <w:top w:val="single" w:sz="4" w:space="0" w:color="auto"/>
              <w:left w:val="single" w:sz="4" w:space="0" w:color="auto"/>
              <w:bottom w:val="single" w:sz="4" w:space="0" w:color="auto"/>
              <w:right w:val="single" w:sz="4" w:space="0" w:color="auto"/>
            </w:tcBorders>
            <w:vAlign w:val="center"/>
            <w:hideMark/>
          </w:tcPr>
          <w:p w:rsidR="00AA3E68" w:rsidRPr="00963828" w:rsidRDefault="00AA3E68" w:rsidP="003544C3">
            <w:pPr>
              <w:rPr>
                <w:rFonts w:ascii="Arial" w:hAnsi="Arial" w:cs="Arial"/>
              </w:rPr>
            </w:pPr>
            <w:r w:rsidRPr="00963828">
              <w:rPr>
                <w:rFonts w:ascii="Arial" w:hAnsi="Arial" w:cs="Arial"/>
              </w:rPr>
              <w:t>1.</w:t>
            </w:r>
          </w:p>
        </w:tc>
        <w:tc>
          <w:tcPr>
            <w:tcW w:w="1379" w:type="dxa"/>
            <w:vMerge w:val="restart"/>
            <w:tcBorders>
              <w:top w:val="single" w:sz="4" w:space="0" w:color="auto"/>
              <w:left w:val="single" w:sz="4" w:space="0" w:color="auto"/>
              <w:right w:val="single" w:sz="4" w:space="0" w:color="auto"/>
            </w:tcBorders>
            <w:vAlign w:val="center"/>
            <w:hideMark/>
          </w:tcPr>
          <w:p w:rsidR="00AA3E68" w:rsidRDefault="00AA3E68" w:rsidP="003544C3">
            <w:pPr>
              <w:rPr>
                <w:rFonts w:ascii="Arial" w:hAnsi="Arial" w:cs="Arial"/>
              </w:rPr>
            </w:pPr>
          </w:p>
          <w:p w:rsidR="00AA3E68" w:rsidRPr="00963828" w:rsidRDefault="00AA3E68" w:rsidP="00AA3E68">
            <w:pPr>
              <w:jc w:val="center"/>
              <w:rPr>
                <w:rFonts w:ascii="Arial" w:hAnsi="Arial" w:cs="Arial"/>
              </w:rPr>
            </w:pPr>
            <w:bookmarkStart w:id="0" w:name="_GoBack"/>
            <w:bookmarkEnd w:id="0"/>
            <w:r>
              <w:rPr>
                <w:rFonts w:ascii="Arial" w:hAnsi="Arial" w:cs="Arial"/>
              </w:rPr>
              <w:t>10.12.2021</w:t>
            </w:r>
            <w:r w:rsidRPr="00963828">
              <w:rPr>
                <w:rFonts w:ascii="Arial" w:hAnsi="Arial" w:cs="Arial"/>
              </w:rPr>
              <w:t>.</w:t>
            </w:r>
          </w:p>
          <w:p w:rsidR="00AA3E68" w:rsidRPr="00963828" w:rsidRDefault="00AA3E68" w:rsidP="001C5DC5">
            <w:pPr>
              <w:jc w:val="both"/>
              <w:rPr>
                <w:rFonts w:ascii="Arial" w:hAnsi="Arial" w:cs="Arial"/>
              </w:rPr>
            </w:pPr>
          </w:p>
        </w:tc>
        <w:tc>
          <w:tcPr>
            <w:tcW w:w="1696" w:type="dxa"/>
            <w:vMerge w:val="restart"/>
            <w:tcBorders>
              <w:top w:val="single" w:sz="4" w:space="0" w:color="auto"/>
              <w:left w:val="single" w:sz="4" w:space="0" w:color="auto"/>
              <w:right w:val="single" w:sz="4" w:space="0" w:color="auto"/>
            </w:tcBorders>
            <w:vAlign w:val="center"/>
            <w:hideMark/>
          </w:tcPr>
          <w:p w:rsidR="00AA3E68" w:rsidRPr="002C45D8" w:rsidRDefault="00AA3E68" w:rsidP="003544C3">
            <w:pPr>
              <w:pStyle w:val="Obinitekst"/>
              <w:rPr>
                <w:rFonts w:ascii="Arial" w:hAnsi="Arial" w:cs="Arial"/>
                <w:szCs w:val="22"/>
              </w:rPr>
            </w:pPr>
            <w:r>
              <w:rPr>
                <w:rFonts w:ascii="Arial" w:hAnsi="Arial" w:cs="Arial"/>
                <w:szCs w:val="22"/>
              </w:rPr>
              <w:t>Antonio Linić</w:t>
            </w:r>
          </w:p>
          <w:p w:rsidR="00AA3E68" w:rsidRPr="002C45D8" w:rsidRDefault="00AA3E68" w:rsidP="003544C3">
            <w:pPr>
              <w:spacing w:after="0" w:line="256" w:lineRule="auto"/>
              <w:rPr>
                <w:rFonts w:ascii="Arial" w:hAnsi="Arial" w:cs="Arial"/>
                <w:lang w:eastAsia="hr-HR"/>
              </w:rPr>
            </w:pPr>
          </w:p>
        </w:tc>
        <w:tc>
          <w:tcPr>
            <w:tcW w:w="3889" w:type="dxa"/>
            <w:tcBorders>
              <w:top w:val="single" w:sz="4" w:space="0" w:color="auto"/>
              <w:left w:val="single" w:sz="4" w:space="0" w:color="auto"/>
              <w:bottom w:val="single" w:sz="4" w:space="0" w:color="auto"/>
              <w:right w:val="single" w:sz="4" w:space="0" w:color="auto"/>
            </w:tcBorders>
            <w:vAlign w:val="center"/>
            <w:hideMark/>
          </w:tcPr>
          <w:p w:rsidR="00AA3E68" w:rsidRPr="002C45D8" w:rsidRDefault="00AA3E68" w:rsidP="002C45D8">
            <w:pPr>
              <w:pStyle w:val="Obinitekst"/>
              <w:jc w:val="both"/>
              <w:rPr>
                <w:rFonts w:ascii="Arial" w:hAnsi="Arial" w:cs="Arial"/>
                <w:szCs w:val="22"/>
                <w:lang w:eastAsia="hr-HR"/>
              </w:rPr>
            </w:pPr>
            <w:r w:rsidRPr="00465A53">
              <w:rPr>
                <w:rFonts w:ascii="Arial" w:hAnsi="Arial" w:cs="Arial"/>
                <w:szCs w:val="22"/>
              </w:rPr>
              <w:t>Člankom 11. stavkom 6. Odluke propisano je da je spremnike zabranjeno premještati s obilježenog mjesta. Kako se navedenim misli na zajedničke spremnike na javnim površinama prijedlog je izmijeniti stavak tako da glasi „Korisniku je zabranjeno oštećivati spremnike, po njima crtati i/ili pisati te zajedničke spremnike premještati s utvrđenog mjesta.“.</w:t>
            </w:r>
          </w:p>
        </w:tc>
        <w:tc>
          <w:tcPr>
            <w:tcW w:w="1559" w:type="dxa"/>
            <w:tcBorders>
              <w:top w:val="single" w:sz="4" w:space="0" w:color="auto"/>
              <w:left w:val="single" w:sz="4" w:space="0" w:color="auto"/>
              <w:bottom w:val="single" w:sz="4" w:space="0" w:color="auto"/>
              <w:right w:val="single" w:sz="4" w:space="0" w:color="auto"/>
            </w:tcBorders>
            <w:vAlign w:val="center"/>
            <w:hideMark/>
          </w:tcPr>
          <w:p w:rsidR="00AA3E68" w:rsidRPr="00963828" w:rsidRDefault="00AA3E68" w:rsidP="00CA1AD9">
            <w:pPr>
              <w:jc w:val="both"/>
              <w:rPr>
                <w:rFonts w:ascii="Arial" w:hAnsi="Arial" w:cs="Arial"/>
              </w:rPr>
            </w:pPr>
            <w:r>
              <w:rPr>
                <w:rFonts w:ascii="Arial" w:hAnsi="Arial" w:cs="Arial"/>
              </w:rPr>
              <w:t>Primjedba se prihvaća.</w:t>
            </w:r>
          </w:p>
        </w:tc>
        <w:tc>
          <w:tcPr>
            <w:tcW w:w="4643" w:type="dxa"/>
            <w:tcBorders>
              <w:top w:val="single" w:sz="4" w:space="0" w:color="auto"/>
              <w:left w:val="single" w:sz="4" w:space="0" w:color="auto"/>
              <w:bottom w:val="single" w:sz="4" w:space="0" w:color="auto"/>
              <w:right w:val="single" w:sz="4" w:space="0" w:color="auto"/>
            </w:tcBorders>
            <w:vAlign w:val="center"/>
            <w:hideMark/>
          </w:tcPr>
          <w:p w:rsidR="00AA3E68" w:rsidRPr="00D424B6" w:rsidRDefault="00AA3E68" w:rsidP="002C45D8">
            <w:pPr>
              <w:pStyle w:val="Obinitekst"/>
              <w:jc w:val="both"/>
              <w:rPr>
                <w:rFonts w:ascii="Arial" w:hAnsi="Arial" w:cs="Arial"/>
                <w:szCs w:val="22"/>
              </w:rPr>
            </w:pPr>
            <w:r w:rsidRPr="00D424B6">
              <w:rPr>
                <w:rFonts w:ascii="Arial" w:hAnsi="Arial" w:cs="Arial"/>
                <w:szCs w:val="22"/>
              </w:rPr>
              <w:t>Prihvaćamo primjedbu te ćemo dodati da je zabranjeno zajedničke spremnike premještati s utvrđenog mjesta.</w:t>
            </w:r>
          </w:p>
        </w:tc>
      </w:tr>
      <w:tr w:rsidR="00AA3E68" w:rsidRPr="00963828" w:rsidTr="000D509D">
        <w:trPr>
          <w:trHeight w:val="983"/>
        </w:trPr>
        <w:tc>
          <w:tcPr>
            <w:tcW w:w="828"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1C5DC5">
            <w:pPr>
              <w:jc w:val="both"/>
              <w:rPr>
                <w:rFonts w:ascii="Arial" w:hAnsi="Arial" w:cs="Arial"/>
              </w:rPr>
            </w:pPr>
            <w:r w:rsidRPr="00963828">
              <w:rPr>
                <w:rFonts w:ascii="Arial" w:hAnsi="Arial" w:cs="Arial"/>
              </w:rPr>
              <w:t xml:space="preserve">2. </w:t>
            </w:r>
          </w:p>
        </w:tc>
        <w:tc>
          <w:tcPr>
            <w:tcW w:w="1379" w:type="dxa"/>
            <w:vMerge/>
            <w:tcBorders>
              <w:left w:val="single" w:sz="4" w:space="0" w:color="auto"/>
              <w:right w:val="single" w:sz="4" w:space="0" w:color="auto"/>
            </w:tcBorders>
            <w:vAlign w:val="center"/>
          </w:tcPr>
          <w:p w:rsidR="00AA3E68" w:rsidRPr="00963828" w:rsidRDefault="00AA3E68" w:rsidP="001C5DC5">
            <w:pPr>
              <w:jc w:val="both"/>
              <w:rPr>
                <w:rFonts w:ascii="Arial" w:hAnsi="Arial" w:cs="Arial"/>
              </w:rPr>
            </w:pPr>
          </w:p>
        </w:tc>
        <w:tc>
          <w:tcPr>
            <w:tcW w:w="1696" w:type="dxa"/>
            <w:vMerge/>
            <w:tcBorders>
              <w:left w:val="single" w:sz="4" w:space="0" w:color="auto"/>
              <w:right w:val="single" w:sz="4" w:space="0" w:color="auto"/>
            </w:tcBorders>
            <w:vAlign w:val="center"/>
          </w:tcPr>
          <w:p w:rsidR="00AA3E68" w:rsidRPr="00963828" w:rsidRDefault="00AA3E68" w:rsidP="001C5DC5">
            <w:pPr>
              <w:pStyle w:val="Obinitekst"/>
              <w:jc w:val="both"/>
              <w:rPr>
                <w:rFonts w:ascii="Arial" w:hAnsi="Arial" w:cs="Arial"/>
                <w:szCs w:val="22"/>
              </w:rPr>
            </w:pPr>
          </w:p>
        </w:tc>
        <w:tc>
          <w:tcPr>
            <w:tcW w:w="3889" w:type="dxa"/>
            <w:tcBorders>
              <w:top w:val="single" w:sz="4" w:space="0" w:color="auto"/>
              <w:left w:val="single" w:sz="4" w:space="0" w:color="auto"/>
              <w:bottom w:val="single" w:sz="4" w:space="0" w:color="auto"/>
              <w:right w:val="single" w:sz="4" w:space="0" w:color="auto"/>
            </w:tcBorders>
            <w:vAlign w:val="center"/>
          </w:tcPr>
          <w:p w:rsidR="00AA3E68" w:rsidRPr="00B73566" w:rsidRDefault="00AA3E68" w:rsidP="002C45D8">
            <w:pPr>
              <w:jc w:val="both"/>
              <w:rPr>
                <w:rFonts w:ascii="Arial" w:hAnsi="Arial" w:cs="Arial"/>
              </w:rPr>
            </w:pPr>
            <w:r w:rsidRPr="00465A53">
              <w:rPr>
                <w:rFonts w:ascii="Arial" w:hAnsi="Arial" w:cs="Arial"/>
              </w:rPr>
              <w:t xml:space="preserve">Člankom 14. stavkom 5. propisano je da će Davatelj usluge povećati volumen spremnika ako isti ne zadovoljava potrebe Korisnika. Na koji način će Davatelj usluge utvrditi da spremnik ne zadovoljava potrebe Korisnika? Davatelj usluge će povećati volumen spremnika samostalno, bez zahtjeva Korisnika? Prijedlog je detaljnije razraditi ovu odredbu. </w:t>
            </w:r>
          </w:p>
        </w:tc>
        <w:tc>
          <w:tcPr>
            <w:tcW w:w="1559"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1C5DC5">
            <w:pPr>
              <w:jc w:val="both"/>
              <w:rPr>
                <w:rFonts w:ascii="Arial" w:hAnsi="Arial" w:cs="Arial"/>
              </w:rPr>
            </w:pPr>
            <w:r>
              <w:rPr>
                <w:rFonts w:ascii="Arial" w:hAnsi="Arial" w:cs="Arial"/>
              </w:rPr>
              <w:t>Primjedba se prihvaća.</w:t>
            </w:r>
          </w:p>
        </w:tc>
        <w:tc>
          <w:tcPr>
            <w:tcW w:w="4643" w:type="dxa"/>
            <w:tcBorders>
              <w:top w:val="single" w:sz="4" w:space="0" w:color="auto"/>
              <w:left w:val="single" w:sz="4" w:space="0" w:color="auto"/>
              <w:bottom w:val="single" w:sz="4" w:space="0" w:color="auto"/>
              <w:right w:val="single" w:sz="4" w:space="0" w:color="auto"/>
            </w:tcBorders>
            <w:vAlign w:val="center"/>
          </w:tcPr>
          <w:p w:rsidR="00AA3E68" w:rsidRPr="00D424B6" w:rsidRDefault="00AA3E68" w:rsidP="00C65C6B">
            <w:pPr>
              <w:jc w:val="both"/>
              <w:rPr>
                <w:rFonts w:ascii="Arial" w:hAnsi="Arial" w:cs="Arial"/>
              </w:rPr>
            </w:pPr>
            <w:r w:rsidRPr="00D424B6">
              <w:rPr>
                <w:rFonts w:ascii="Arial" w:hAnsi="Arial" w:cs="Arial"/>
                <w:color w:val="000000" w:themeColor="text1"/>
              </w:rPr>
              <w:t xml:space="preserve">Prihvaćamo primjedbu te ćemo dodati da </w:t>
            </w:r>
            <w:r>
              <w:rPr>
                <w:rFonts w:ascii="Arial" w:hAnsi="Arial" w:cs="Arial"/>
                <w:color w:val="000000" w:themeColor="text1"/>
              </w:rPr>
              <w:t xml:space="preserve">će </w:t>
            </w:r>
            <w:r w:rsidRPr="00C65C6B">
              <w:rPr>
                <w:rFonts w:ascii="Arial" w:hAnsi="Arial" w:cs="Arial"/>
                <w:color w:val="000000" w:themeColor="text1"/>
              </w:rPr>
              <w:t xml:space="preserve">Davatelj usluge povećati volumen spremnika </w:t>
            </w:r>
            <w:r>
              <w:rPr>
                <w:rFonts w:ascii="Arial" w:hAnsi="Arial" w:cs="Arial"/>
                <w:color w:val="000000" w:themeColor="text1"/>
              </w:rPr>
              <w:t>na</w:t>
            </w:r>
            <w:r w:rsidRPr="00C65C6B">
              <w:rPr>
                <w:rFonts w:ascii="Arial" w:hAnsi="Arial" w:cs="Arial"/>
                <w:color w:val="000000" w:themeColor="text1"/>
              </w:rPr>
              <w:t xml:space="preserve"> zahtjeva Korisnika</w:t>
            </w:r>
            <w:r>
              <w:rPr>
                <w:rFonts w:ascii="Arial" w:hAnsi="Arial" w:cs="Arial"/>
                <w:color w:val="000000" w:themeColor="text1"/>
              </w:rPr>
              <w:t>.</w:t>
            </w:r>
          </w:p>
        </w:tc>
      </w:tr>
      <w:tr w:rsidR="00AA3E68" w:rsidRPr="00963828" w:rsidTr="000D509D">
        <w:trPr>
          <w:trHeight w:val="2858"/>
        </w:trPr>
        <w:tc>
          <w:tcPr>
            <w:tcW w:w="828"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1C5DC5">
            <w:pPr>
              <w:jc w:val="both"/>
              <w:rPr>
                <w:rFonts w:ascii="Arial" w:hAnsi="Arial" w:cs="Arial"/>
              </w:rPr>
            </w:pPr>
            <w:r w:rsidRPr="00963828">
              <w:rPr>
                <w:rFonts w:ascii="Arial" w:hAnsi="Arial" w:cs="Arial"/>
              </w:rPr>
              <w:lastRenderedPageBreak/>
              <w:t>3.</w:t>
            </w:r>
          </w:p>
        </w:tc>
        <w:tc>
          <w:tcPr>
            <w:tcW w:w="1379" w:type="dxa"/>
            <w:vMerge/>
            <w:tcBorders>
              <w:left w:val="single" w:sz="4" w:space="0" w:color="auto"/>
              <w:right w:val="single" w:sz="4" w:space="0" w:color="auto"/>
            </w:tcBorders>
            <w:vAlign w:val="center"/>
          </w:tcPr>
          <w:p w:rsidR="00AA3E68" w:rsidRPr="00963828" w:rsidRDefault="00AA3E68" w:rsidP="001C5DC5">
            <w:pPr>
              <w:jc w:val="both"/>
              <w:rPr>
                <w:rFonts w:ascii="Arial" w:hAnsi="Arial" w:cs="Arial"/>
              </w:rPr>
            </w:pPr>
          </w:p>
        </w:tc>
        <w:tc>
          <w:tcPr>
            <w:tcW w:w="1696" w:type="dxa"/>
            <w:vMerge/>
            <w:tcBorders>
              <w:left w:val="single" w:sz="4" w:space="0" w:color="auto"/>
              <w:right w:val="single" w:sz="4" w:space="0" w:color="auto"/>
            </w:tcBorders>
            <w:vAlign w:val="center"/>
          </w:tcPr>
          <w:p w:rsidR="00AA3E68" w:rsidRPr="00963828" w:rsidRDefault="00AA3E68" w:rsidP="001C5DC5">
            <w:pPr>
              <w:pStyle w:val="Obinitekst"/>
              <w:jc w:val="both"/>
              <w:rPr>
                <w:rFonts w:ascii="Arial" w:hAnsi="Arial" w:cs="Arial"/>
                <w:szCs w:val="22"/>
              </w:rPr>
            </w:pPr>
          </w:p>
        </w:tc>
        <w:tc>
          <w:tcPr>
            <w:tcW w:w="3889" w:type="dxa"/>
            <w:tcBorders>
              <w:top w:val="single" w:sz="4" w:space="0" w:color="auto"/>
              <w:left w:val="single" w:sz="4" w:space="0" w:color="auto"/>
              <w:bottom w:val="single" w:sz="4" w:space="0" w:color="auto"/>
              <w:right w:val="single" w:sz="4" w:space="0" w:color="auto"/>
            </w:tcBorders>
            <w:vAlign w:val="center"/>
          </w:tcPr>
          <w:p w:rsidR="00AA3E68" w:rsidRPr="00010F06" w:rsidRDefault="00AA3E68" w:rsidP="00010F06">
            <w:pPr>
              <w:spacing w:after="0"/>
              <w:jc w:val="both"/>
              <w:rPr>
                <w:rFonts w:ascii="Arial" w:hAnsi="Arial" w:cs="Arial"/>
              </w:rPr>
            </w:pPr>
            <w:r w:rsidRPr="00465A53">
              <w:rPr>
                <w:rFonts w:ascii="Arial" w:hAnsi="Arial" w:cs="Arial"/>
              </w:rPr>
              <w:t>U članku 18. stavku 2. propisano je da se glomazni otpad Korisnika kućanstvo sakuplja bez naknade jednom godišnje na lokaciji obračunskog mjesta Korisnika. S obzirom da je člankom 85. stavkom 1. Zakona propisano "najmanje jednom u kalendarskoj godini", prijedlog je umjesto „jednom godišnje“ propisati "...sakuplja se bez naknade jednom u kalendarskoj godini...".</w:t>
            </w:r>
          </w:p>
          <w:p w:rsidR="00AA3E68" w:rsidRPr="00963828" w:rsidRDefault="00AA3E68" w:rsidP="001C5DC5">
            <w:pPr>
              <w:spacing w:after="0" w:line="240" w:lineRule="auto"/>
              <w:jc w:val="both"/>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1C5DC5">
            <w:pPr>
              <w:jc w:val="both"/>
              <w:rPr>
                <w:rFonts w:ascii="Arial" w:hAnsi="Arial" w:cs="Arial"/>
              </w:rPr>
            </w:pPr>
            <w:r>
              <w:rPr>
                <w:rFonts w:ascii="Arial" w:hAnsi="Arial" w:cs="Arial"/>
              </w:rPr>
              <w:t>Primjedba se prihvaća.</w:t>
            </w:r>
          </w:p>
        </w:tc>
        <w:tc>
          <w:tcPr>
            <w:tcW w:w="4643" w:type="dxa"/>
            <w:tcBorders>
              <w:top w:val="single" w:sz="4" w:space="0" w:color="auto"/>
              <w:left w:val="single" w:sz="4" w:space="0" w:color="auto"/>
              <w:bottom w:val="single" w:sz="4" w:space="0" w:color="auto"/>
              <w:right w:val="single" w:sz="4" w:space="0" w:color="auto"/>
            </w:tcBorders>
            <w:vAlign w:val="center"/>
          </w:tcPr>
          <w:p w:rsidR="00AA3E68" w:rsidRPr="00D424B6" w:rsidRDefault="00AA3E68" w:rsidP="00D424B6">
            <w:pPr>
              <w:spacing w:after="0" w:line="240" w:lineRule="auto"/>
              <w:jc w:val="both"/>
              <w:rPr>
                <w:rFonts w:ascii="Arial" w:hAnsi="Arial" w:cs="Arial"/>
              </w:rPr>
            </w:pPr>
            <w:r w:rsidRPr="00D424B6">
              <w:rPr>
                <w:rFonts w:ascii="Arial" w:hAnsi="Arial" w:cs="Arial"/>
              </w:rPr>
              <w:t>Prihvaćamo primjedbu te ćemo umjesto „jednom godišnje“ propisati „jednom u kalendarskoj godini".</w:t>
            </w:r>
          </w:p>
        </w:tc>
      </w:tr>
      <w:tr w:rsidR="00AA3E68" w:rsidRPr="00963828" w:rsidTr="000D509D">
        <w:trPr>
          <w:trHeight w:val="2858"/>
        </w:trPr>
        <w:tc>
          <w:tcPr>
            <w:tcW w:w="828"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1C5DC5">
            <w:pPr>
              <w:jc w:val="both"/>
              <w:rPr>
                <w:rFonts w:ascii="Arial" w:hAnsi="Arial" w:cs="Arial"/>
              </w:rPr>
            </w:pPr>
            <w:r w:rsidRPr="00963828">
              <w:rPr>
                <w:rFonts w:ascii="Arial" w:hAnsi="Arial" w:cs="Arial"/>
              </w:rPr>
              <w:t>4.</w:t>
            </w:r>
          </w:p>
        </w:tc>
        <w:tc>
          <w:tcPr>
            <w:tcW w:w="1379" w:type="dxa"/>
            <w:vMerge/>
            <w:tcBorders>
              <w:left w:val="single" w:sz="4" w:space="0" w:color="auto"/>
              <w:right w:val="single" w:sz="4" w:space="0" w:color="auto"/>
            </w:tcBorders>
            <w:vAlign w:val="center"/>
          </w:tcPr>
          <w:p w:rsidR="00AA3E68" w:rsidRPr="00963828" w:rsidRDefault="00AA3E68" w:rsidP="001C5DC5">
            <w:pPr>
              <w:jc w:val="both"/>
              <w:rPr>
                <w:rFonts w:ascii="Arial" w:hAnsi="Arial" w:cs="Arial"/>
              </w:rPr>
            </w:pPr>
          </w:p>
        </w:tc>
        <w:tc>
          <w:tcPr>
            <w:tcW w:w="1696" w:type="dxa"/>
            <w:vMerge/>
            <w:tcBorders>
              <w:left w:val="single" w:sz="4" w:space="0" w:color="auto"/>
              <w:right w:val="single" w:sz="4" w:space="0" w:color="auto"/>
            </w:tcBorders>
            <w:vAlign w:val="center"/>
          </w:tcPr>
          <w:p w:rsidR="00AA3E68" w:rsidRPr="00963828" w:rsidRDefault="00AA3E68" w:rsidP="001C5DC5">
            <w:pPr>
              <w:pStyle w:val="Obinitekst"/>
              <w:jc w:val="both"/>
              <w:rPr>
                <w:rFonts w:ascii="Arial" w:hAnsi="Arial" w:cs="Arial"/>
                <w:szCs w:val="22"/>
              </w:rPr>
            </w:pPr>
          </w:p>
        </w:tc>
        <w:tc>
          <w:tcPr>
            <w:tcW w:w="3889"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8C386E">
            <w:pPr>
              <w:spacing w:after="0" w:line="240" w:lineRule="auto"/>
              <w:jc w:val="both"/>
              <w:rPr>
                <w:rFonts w:ascii="Arial" w:hAnsi="Arial" w:cs="Arial"/>
              </w:rPr>
            </w:pPr>
            <w:r w:rsidRPr="00465A53">
              <w:rPr>
                <w:rFonts w:ascii="Arial" w:hAnsi="Arial" w:cs="Arial"/>
              </w:rPr>
              <w:t>Vezano za članak 3</w:t>
            </w:r>
            <w:r>
              <w:rPr>
                <w:rFonts w:ascii="Arial" w:hAnsi="Arial" w:cs="Arial"/>
              </w:rPr>
              <w:t>6</w:t>
            </w:r>
            <w:r w:rsidRPr="00465A53">
              <w:rPr>
                <w:rFonts w:ascii="Arial" w:hAnsi="Arial" w:cs="Arial"/>
              </w:rPr>
              <w:t>. kojim je propisano da će Davatelj usluge donijeti Cjenik javne usluge u roku od tri mjeseca od dana donošenja ove Odluke. A po kojem Cjeniku će se onda obračunavati aktualna usluga za vrijeme dok se ne donese novi, s obzirom na članak 39. i prestanak važenja stare odluke? Prijedlog je propisati da će se do donošenja novog Cjenika primjenjivati aktualni Cjenik.</w:t>
            </w:r>
          </w:p>
        </w:tc>
        <w:tc>
          <w:tcPr>
            <w:tcW w:w="1559" w:type="dxa"/>
            <w:tcBorders>
              <w:top w:val="single" w:sz="4" w:space="0" w:color="auto"/>
              <w:left w:val="single" w:sz="4" w:space="0" w:color="auto"/>
              <w:bottom w:val="single" w:sz="4" w:space="0" w:color="auto"/>
              <w:right w:val="single" w:sz="4" w:space="0" w:color="auto"/>
            </w:tcBorders>
            <w:vAlign w:val="center"/>
          </w:tcPr>
          <w:p w:rsidR="00AA3E68" w:rsidRPr="00963828" w:rsidRDefault="00AA3E68" w:rsidP="001C5DC5">
            <w:pPr>
              <w:jc w:val="both"/>
              <w:rPr>
                <w:rFonts w:ascii="Arial" w:hAnsi="Arial" w:cs="Arial"/>
              </w:rPr>
            </w:pPr>
            <w:r>
              <w:rPr>
                <w:rFonts w:ascii="Arial" w:hAnsi="Arial" w:cs="Arial"/>
              </w:rPr>
              <w:t>Primjedba se prihvaća.</w:t>
            </w:r>
          </w:p>
        </w:tc>
        <w:tc>
          <w:tcPr>
            <w:tcW w:w="4643" w:type="dxa"/>
            <w:tcBorders>
              <w:top w:val="single" w:sz="4" w:space="0" w:color="auto"/>
              <w:left w:val="single" w:sz="4" w:space="0" w:color="auto"/>
              <w:bottom w:val="single" w:sz="4" w:space="0" w:color="auto"/>
              <w:right w:val="single" w:sz="4" w:space="0" w:color="auto"/>
            </w:tcBorders>
            <w:vAlign w:val="center"/>
          </w:tcPr>
          <w:p w:rsidR="00AA3E68" w:rsidRPr="00D424B6" w:rsidRDefault="00AA3E68" w:rsidP="001C5DC5">
            <w:pPr>
              <w:spacing w:after="0" w:line="240" w:lineRule="auto"/>
              <w:jc w:val="both"/>
              <w:rPr>
                <w:rFonts w:ascii="Arial" w:hAnsi="Arial" w:cs="Arial"/>
              </w:rPr>
            </w:pPr>
            <w:r w:rsidRPr="00D424B6">
              <w:rPr>
                <w:rFonts w:ascii="Arial" w:hAnsi="Arial" w:cs="Arial"/>
              </w:rPr>
              <w:t>Prihvaćamo primjedbu te ćemo dodati da će se do donošenja novog Cjenika primjenjivati aktualni Cjenik.</w:t>
            </w:r>
          </w:p>
        </w:tc>
      </w:tr>
    </w:tbl>
    <w:p w:rsidR="00B11E4D" w:rsidRPr="00963828" w:rsidRDefault="00B11E4D" w:rsidP="00B11E4D">
      <w:pPr>
        <w:rPr>
          <w:rFonts w:ascii="Arial" w:hAnsi="Arial" w:cs="Arial"/>
        </w:rPr>
      </w:pPr>
    </w:p>
    <w:p w:rsidR="006A5EAC" w:rsidRPr="00963828" w:rsidRDefault="006A5EAC">
      <w:pPr>
        <w:rPr>
          <w:rFonts w:ascii="Arial" w:hAnsi="Arial" w:cs="Arial"/>
        </w:rPr>
      </w:pPr>
    </w:p>
    <w:sectPr w:rsidR="006A5EAC" w:rsidRPr="00963828" w:rsidSect="00D01F54">
      <w:footerReference w:type="default" r:id="rId7"/>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742" w:rsidRDefault="007C3742" w:rsidP="001C5DC5">
      <w:pPr>
        <w:spacing w:after="0" w:line="240" w:lineRule="auto"/>
      </w:pPr>
      <w:r>
        <w:separator/>
      </w:r>
    </w:p>
  </w:endnote>
  <w:endnote w:type="continuationSeparator" w:id="0">
    <w:p w:rsidR="007C3742" w:rsidRDefault="007C3742" w:rsidP="001C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8140285"/>
      <w:docPartObj>
        <w:docPartGallery w:val="Page Numbers (Bottom of Page)"/>
        <w:docPartUnique/>
      </w:docPartObj>
    </w:sdtPr>
    <w:sdtEndPr/>
    <w:sdtContent>
      <w:p w:rsidR="001C5DC5" w:rsidRDefault="001C5DC5">
        <w:pPr>
          <w:pStyle w:val="Podnoje"/>
          <w:jc w:val="right"/>
        </w:pPr>
        <w:r>
          <w:fldChar w:fldCharType="begin"/>
        </w:r>
        <w:r>
          <w:instrText>PAGE   \* MERGEFORMAT</w:instrText>
        </w:r>
        <w:r>
          <w:fldChar w:fldCharType="separate"/>
        </w:r>
        <w:r w:rsidR="00AA3E68">
          <w:rPr>
            <w:noProof/>
          </w:rPr>
          <w:t>2</w:t>
        </w:r>
        <w:r>
          <w:fldChar w:fldCharType="end"/>
        </w:r>
      </w:p>
    </w:sdtContent>
  </w:sdt>
  <w:p w:rsidR="001C5DC5" w:rsidRDefault="001C5DC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742" w:rsidRDefault="007C3742" w:rsidP="001C5DC5">
      <w:pPr>
        <w:spacing w:after="0" w:line="240" w:lineRule="auto"/>
      </w:pPr>
      <w:r>
        <w:separator/>
      </w:r>
    </w:p>
  </w:footnote>
  <w:footnote w:type="continuationSeparator" w:id="0">
    <w:p w:rsidR="007C3742" w:rsidRDefault="007C3742" w:rsidP="001C5D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0105A2"/>
    <w:multiLevelType w:val="hybridMultilevel"/>
    <w:tmpl w:val="DE82C9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C8C4179"/>
    <w:multiLevelType w:val="hybridMultilevel"/>
    <w:tmpl w:val="4A5622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B1A7408"/>
    <w:multiLevelType w:val="hybridMultilevel"/>
    <w:tmpl w:val="7FD6D5D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7FA126D3"/>
    <w:multiLevelType w:val="hybridMultilevel"/>
    <w:tmpl w:val="3248668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E4D"/>
    <w:rsid w:val="00010F06"/>
    <w:rsid w:val="0001742B"/>
    <w:rsid w:val="00076634"/>
    <w:rsid w:val="00186334"/>
    <w:rsid w:val="001C5DC5"/>
    <w:rsid w:val="00204C61"/>
    <w:rsid w:val="002477A8"/>
    <w:rsid w:val="0027752C"/>
    <w:rsid w:val="002834CB"/>
    <w:rsid w:val="002C45D8"/>
    <w:rsid w:val="002E2D81"/>
    <w:rsid w:val="00327633"/>
    <w:rsid w:val="00352011"/>
    <w:rsid w:val="003544C3"/>
    <w:rsid w:val="0036167B"/>
    <w:rsid w:val="00377614"/>
    <w:rsid w:val="004655D7"/>
    <w:rsid w:val="00465A53"/>
    <w:rsid w:val="004956B7"/>
    <w:rsid w:val="005B7C11"/>
    <w:rsid w:val="006442A5"/>
    <w:rsid w:val="006A5EAC"/>
    <w:rsid w:val="007C3742"/>
    <w:rsid w:val="007C7413"/>
    <w:rsid w:val="007D12AE"/>
    <w:rsid w:val="007F2330"/>
    <w:rsid w:val="008045FD"/>
    <w:rsid w:val="008406F1"/>
    <w:rsid w:val="008C386E"/>
    <w:rsid w:val="008F31DC"/>
    <w:rsid w:val="00916503"/>
    <w:rsid w:val="00963828"/>
    <w:rsid w:val="009644D7"/>
    <w:rsid w:val="00A936E9"/>
    <w:rsid w:val="00AA3E68"/>
    <w:rsid w:val="00B11E4D"/>
    <w:rsid w:val="00B34AAA"/>
    <w:rsid w:val="00B65154"/>
    <w:rsid w:val="00B717FF"/>
    <w:rsid w:val="00B73566"/>
    <w:rsid w:val="00C22ED7"/>
    <w:rsid w:val="00C322FB"/>
    <w:rsid w:val="00C65C6B"/>
    <w:rsid w:val="00C970AA"/>
    <w:rsid w:val="00CA1AD9"/>
    <w:rsid w:val="00D01F54"/>
    <w:rsid w:val="00D424B6"/>
    <w:rsid w:val="00D525F1"/>
    <w:rsid w:val="00E35361"/>
    <w:rsid w:val="00E440CC"/>
    <w:rsid w:val="00F35C0C"/>
    <w:rsid w:val="00F866F2"/>
    <w:rsid w:val="00F94E90"/>
    <w:rsid w:val="00FF14DF"/>
    <w:rsid w:val="00FF33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09713-D0BD-4C15-B94C-E297DAC4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4D"/>
    <w:pPr>
      <w:spacing w:line="252"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binitekst">
    <w:name w:val="Plain Text"/>
    <w:basedOn w:val="Normal"/>
    <w:link w:val="ObinitekstChar"/>
    <w:uiPriority w:val="99"/>
    <w:semiHidden/>
    <w:unhideWhenUsed/>
    <w:rsid w:val="00B11E4D"/>
    <w:pPr>
      <w:spacing w:after="0" w:line="240" w:lineRule="auto"/>
    </w:pPr>
    <w:rPr>
      <w:rFonts w:ascii="Calibri" w:hAnsi="Calibri"/>
      <w:szCs w:val="21"/>
    </w:rPr>
  </w:style>
  <w:style w:type="character" w:customStyle="1" w:styleId="ObinitekstChar">
    <w:name w:val="Obični tekst Char"/>
    <w:basedOn w:val="Zadanifontodlomka"/>
    <w:link w:val="Obinitekst"/>
    <w:uiPriority w:val="99"/>
    <w:semiHidden/>
    <w:rsid w:val="00B11E4D"/>
    <w:rPr>
      <w:rFonts w:ascii="Calibri" w:hAnsi="Calibri"/>
      <w:szCs w:val="21"/>
    </w:rPr>
  </w:style>
  <w:style w:type="paragraph" w:styleId="Odlomakpopisa">
    <w:name w:val="List Paragraph"/>
    <w:basedOn w:val="Normal"/>
    <w:uiPriority w:val="34"/>
    <w:qFormat/>
    <w:rsid w:val="00B34AAA"/>
    <w:pPr>
      <w:ind w:left="720"/>
      <w:contextualSpacing/>
    </w:pPr>
  </w:style>
  <w:style w:type="paragraph" w:styleId="Zaglavlje">
    <w:name w:val="header"/>
    <w:basedOn w:val="Normal"/>
    <w:link w:val="ZaglavljeChar"/>
    <w:uiPriority w:val="99"/>
    <w:unhideWhenUsed/>
    <w:rsid w:val="001C5DC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C5DC5"/>
  </w:style>
  <w:style w:type="paragraph" w:styleId="Podnoje">
    <w:name w:val="footer"/>
    <w:basedOn w:val="Normal"/>
    <w:link w:val="PodnojeChar"/>
    <w:uiPriority w:val="99"/>
    <w:unhideWhenUsed/>
    <w:rsid w:val="001C5DC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C5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97977">
      <w:bodyDiv w:val="1"/>
      <w:marLeft w:val="0"/>
      <w:marRight w:val="0"/>
      <w:marTop w:val="0"/>
      <w:marBottom w:val="0"/>
      <w:divBdr>
        <w:top w:val="none" w:sz="0" w:space="0" w:color="auto"/>
        <w:left w:val="none" w:sz="0" w:space="0" w:color="auto"/>
        <w:bottom w:val="none" w:sz="0" w:space="0" w:color="auto"/>
        <w:right w:val="none" w:sz="0" w:space="0" w:color="auto"/>
      </w:divBdr>
    </w:div>
    <w:div w:id="348992791">
      <w:bodyDiv w:val="1"/>
      <w:marLeft w:val="0"/>
      <w:marRight w:val="0"/>
      <w:marTop w:val="0"/>
      <w:marBottom w:val="0"/>
      <w:divBdr>
        <w:top w:val="none" w:sz="0" w:space="0" w:color="auto"/>
        <w:left w:val="none" w:sz="0" w:space="0" w:color="auto"/>
        <w:bottom w:val="none" w:sz="0" w:space="0" w:color="auto"/>
        <w:right w:val="none" w:sz="0" w:space="0" w:color="auto"/>
      </w:divBdr>
    </w:div>
    <w:div w:id="418596583">
      <w:bodyDiv w:val="1"/>
      <w:marLeft w:val="0"/>
      <w:marRight w:val="0"/>
      <w:marTop w:val="0"/>
      <w:marBottom w:val="0"/>
      <w:divBdr>
        <w:top w:val="none" w:sz="0" w:space="0" w:color="auto"/>
        <w:left w:val="none" w:sz="0" w:space="0" w:color="auto"/>
        <w:bottom w:val="none" w:sz="0" w:space="0" w:color="auto"/>
        <w:right w:val="none" w:sz="0" w:space="0" w:color="auto"/>
      </w:divBdr>
    </w:div>
    <w:div w:id="425880306">
      <w:bodyDiv w:val="1"/>
      <w:marLeft w:val="0"/>
      <w:marRight w:val="0"/>
      <w:marTop w:val="0"/>
      <w:marBottom w:val="0"/>
      <w:divBdr>
        <w:top w:val="none" w:sz="0" w:space="0" w:color="auto"/>
        <w:left w:val="none" w:sz="0" w:space="0" w:color="auto"/>
        <w:bottom w:val="none" w:sz="0" w:space="0" w:color="auto"/>
        <w:right w:val="none" w:sz="0" w:space="0" w:color="auto"/>
      </w:divBdr>
    </w:div>
    <w:div w:id="521742937">
      <w:bodyDiv w:val="1"/>
      <w:marLeft w:val="0"/>
      <w:marRight w:val="0"/>
      <w:marTop w:val="0"/>
      <w:marBottom w:val="0"/>
      <w:divBdr>
        <w:top w:val="none" w:sz="0" w:space="0" w:color="auto"/>
        <w:left w:val="none" w:sz="0" w:space="0" w:color="auto"/>
        <w:bottom w:val="none" w:sz="0" w:space="0" w:color="auto"/>
        <w:right w:val="none" w:sz="0" w:space="0" w:color="auto"/>
      </w:divBdr>
    </w:div>
    <w:div w:id="568001390">
      <w:bodyDiv w:val="1"/>
      <w:marLeft w:val="0"/>
      <w:marRight w:val="0"/>
      <w:marTop w:val="0"/>
      <w:marBottom w:val="0"/>
      <w:divBdr>
        <w:top w:val="none" w:sz="0" w:space="0" w:color="auto"/>
        <w:left w:val="none" w:sz="0" w:space="0" w:color="auto"/>
        <w:bottom w:val="none" w:sz="0" w:space="0" w:color="auto"/>
        <w:right w:val="none" w:sz="0" w:space="0" w:color="auto"/>
      </w:divBdr>
    </w:div>
    <w:div w:id="571161604">
      <w:bodyDiv w:val="1"/>
      <w:marLeft w:val="0"/>
      <w:marRight w:val="0"/>
      <w:marTop w:val="0"/>
      <w:marBottom w:val="0"/>
      <w:divBdr>
        <w:top w:val="none" w:sz="0" w:space="0" w:color="auto"/>
        <w:left w:val="none" w:sz="0" w:space="0" w:color="auto"/>
        <w:bottom w:val="none" w:sz="0" w:space="0" w:color="auto"/>
        <w:right w:val="none" w:sz="0" w:space="0" w:color="auto"/>
      </w:divBdr>
    </w:div>
    <w:div w:id="730155506">
      <w:bodyDiv w:val="1"/>
      <w:marLeft w:val="0"/>
      <w:marRight w:val="0"/>
      <w:marTop w:val="0"/>
      <w:marBottom w:val="0"/>
      <w:divBdr>
        <w:top w:val="none" w:sz="0" w:space="0" w:color="auto"/>
        <w:left w:val="none" w:sz="0" w:space="0" w:color="auto"/>
        <w:bottom w:val="none" w:sz="0" w:space="0" w:color="auto"/>
        <w:right w:val="none" w:sz="0" w:space="0" w:color="auto"/>
      </w:divBdr>
    </w:div>
    <w:div w:id="894120074">
      <w:bodyDiv w:val="1"/>
      <w:marLeft w:val="0"/>
      <w:marRight w:val="0"/>
      <w:marTop w:val="0"/>
      <w:marBottom w:val="0"/>
      <w:divBdr>
        <w:top w:val="none" w:sz="0" w:space="0" w:color="auto"/>
        <w:left w:val="none" w:sz="0" w:space="0" w:color="auto"/>
        <w:bottom w:val="none" w:sz="0" w:space="0" w:color="auto"/>
        <w:right w:val="none" w:sz="0" w:space="0" w:color="auto"/>
      </w:divBdr>
    </w:div>
    <w:div w:id="1155033066">
      <w:bodyDiv w:val="1"/>
      <w:marLeft w:val="0"/>
      <w:marRight w:val="0"/>
      <w:marTop w:val="0"/>
      <w:marBottom w:val="0"/>
      <w:divBdr>
        <w:top w:val="none" w:sz="0" w:space="0" w:color="auto"/>
        <w:left w:val="none" w:sz="0" w:space="0" w:color="auto"/>
        <w:bottom w:val="none" w:sz="0" w:space="0" w:color="auto"/>
        <w:right w:val="none" w:sz="0" w:space="0" w:color="auto"/>
      </w:divBdr>
    </w:div>
    <w:div w:id="1246497506">
      <w:bodyDiv w:val="1"/>
      <w:marLeft w:val="0"/>
      <w:marRight w:val="0"/>
      <w:marTop w:val="0"/>
      <w:marBottom w:val="0"/>
      <w:divBdr>
        <w:top w:val="none" w:sz="0" w:space="0" w:color="auto"/>
        <w:left w:val="none" w:sz="0" w:space="0" w:color="auto"/>
        <w:bottom w:val="none" w:sz="0" w:space="0" w:color="auto"/>
        <w:right w:val="none" w:sz="0" w:space="0" w:color="auto"/>
      </w:divBdr>
    </w:div>
    <w:div w:id="1322078253">
      <w:bodyDiv w:val="1"/>
      <w:marLeft w:val="0"/>
      <w:marRight w:val="0"/>
      <w:marTop w:val="0"/>
      <w:marBottom w:val="0"/>
      <w:divBdr>
        <w:top w:val="none" w:sz="0" w:space="0" w:color="auto"/>
        <w:left w:val="none" w:sz="0" w:space="0" w:color="auto"/>
        <w:bottom w:val="none" w:sz="0" w:space="0" w:color="auto"/>
        <w:right w:val="none" w:sz="0" w:space="0" w:color="auto"/>
      </w:divBdr>
    </w:div>
    <w:div w:id="1439176953">
      <w:bodyDiv w:val="1"/>
      <w:marLeft w:val="0"/>
      <w:marRight w:val="0"/>
      <w:marTop w:val="0"/>
      <w:marBottom w:val="0"/>
      <w:divBdr>
        <w:top w:val="none" w:sz="0" w:space="0" w:color="auto"/>
        <w:left w:val="none" w:sz="0" w:space="0" w:color="auto"/>
        <w:bottom w:val="none" w:sz="0" w:space="0" w:color="auto"/>
        <w:right w:val="none" w:sz="0" w:space="0" w:color="auto"/>
      </w:divBdr>
    </w:div>
    <w:div w:id="1540437731">
      <w:bodyDiv w:val="1"/>
      <w:marLeft w:val="0"/>
      <w:marRight w:val="0"/>
      <w:marTop w:val="0"/>
      <w:marBottom w:val="0"/>
      <w:divBdr>
        <w:top w:val="none" w:sz="0" w:space="0" w:color="auto"/>
        <w:left w:val="none" w:sz="0" w:space="0" w:color="auto"/>
        <w:bottom w:val="none" w:sz="0" w:space="0" w:color="auto"/>
        <w:right w:val="none" w:sz="0" w:space="0" w:color="auto"/>
      </w:divBdr>
    </w:div>
    <w:div w:id="1613627686">
      <w:bodyDiv w:val="1"/>
      <w:marLeft w:val="0"/>
      <w:marRight w:val="0"/>
      <w:marTop w:val="0"/>
      <w:marBottom w:val="0"/>
      <w:divBdr>
        <w:top w:val="none" w:sz="0" w:space="0" w:color="auto"/>
        <w:left w:val="none" w:sz="0" w:space="0" w:color="auto"/>
        <w:bottom w:val="none" w:sz="0" w:space="0" w:color="auto"/>
        <w:right w:val="none" w:sz="0" w:space="0" w:color="auto"/>
      </w:divBdr>
    </w:div>
    <w:div w:id="19735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339</Words>
  <Characters>1935</Characters>
  <Application>Microsoft Office Word</Application>
  <DocSecurity>0</DocSecurity>
  <Lines>16</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kralj</cp:lastModifiedBy>
  <cp:revision>9</cp:revision>
  <cp:lastPrinted>2018-11-29T13:08:00Z</cp:lastPrinted>
  <dcterms:created xsi:type="dcterms:W3CDTF">2022-01-03T11:15:00Z</dcterms:created>
  <dcterms:modified xsi:type="dcterms:W3CDTF">2022-01-10T13:30:00Z</dcterms:modified>
</cp:coreProperties>
</file>